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42261">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附件3</w:t>
      </w:r>
    </w:p>
    <w:p w14:paraId="00CC664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36"/>
          <w:szCs w:val="36"/>
          <w:lang w:val="en-US" w:eastAsia="zh-CN"/>
        </w:rPr>
      </w:pPr>
      <w:r>
        <w:rPr>
          <w:rFonts w:hint="eastAsia" w:ascii="Times New Roman" w:hAnsi="Times New Roman" w:eastAsia="方正小标宋_GBK" w:cs="Times New Roman"/>
          <w:color w:val="auto"/>
          <w:sz w:val="36"/>
          <w:szCs w:val="36"/>
          <w:lang w:val="en-US" w:eastAsia="zh-CN"/>
        </w:rPr>
        <w:t>评审标准</w:t>
      </w:r>
    </w:p>
    <w:p w14:paraId="16A2E0D0">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_GBK" w:cs="Times New Roman"/>
          <w:color w:val="auto"/>
          <w:sz w:val="36"/>
          <w:szCs w:val="36"/>
          <w:lang w:val="en-US" w:eastAsia="zh-CN"/>
        </w:rPr>
      </w:pPr>
    </w:p>
    <w:p w14:paraId="58BDC05F">
      <w:pPr>
        <w:numPr>
          <w:ilvl w:val="0"/>
          <w:numId w:val="0"/>
        </w:numPr>
        <w:spacing w:line="500" w:lineRule="exact"/>
        <w:ind w:firstLine="640" w:firstLineChars="200"/>
        <w:jc w:val="both"/>
        <w:rPr>
          <w:rFonts w:hint="eastAsia" w:ascii="Times New Roman" w:hAnsi="Times New Roman" w:eastAsia="方正仿宋_GBK" w:cs="宋体"/>
          <w:b w:val="0"/>
          <w:bCs w:val="0"/>
          <w:kern w:val="2"/>
          <w:sz w:val="32"/>
          <w:szCs w:val="32"/>
          <w:lang w:val="en-US" w:eastAsia="zh-CN" w:bidi="ar"/>
        </w:rPr>
      </w:pPr>
      <w:r>
        <w:rPr>
          <w:rFonts w:hint="eastAsia" w:ascii="Times New Roman" w:hAnsi="Times New Roman" w:eastAsia="方正仿宋_GBK" w:cs="宋体"/>
          <w:b w:val="0"/>
          <w:bCs w:val="0"/>
          <w:kern w:val="2"/>
          <w:sz w:val="32"/>
          <w:szCs w:val="32"/>
          <w:lang w:val="en-US" w:eastAsia="zh-CN" w:bidi="ar"/>
        </w:rPr>
        <w:t>本次采购采用综合评分，除价格因素外，评审小组成员应当根据自身专业情况独立对每个有效供应商的响应文件进行评价、打分。</w:t>
      </w:r>
    </w:p>
    <w:p w14:paraId="2D23AB83">
      <w:pPr>
        <w:spacing w:line="500" w:lineRule="exact"/>
        <w:jc w:val="both"/>
        <w:rPr>
          <w:rFonts w:hint="eastAsia" w:ascii="宋体" w:hAnsi="宋体" w:eastAsia="宋体" w:cs="宋体"/>
          <w:b w:val="0"/>
          <w:bCs w:val="0"/>
          <w:color w:val="auto"/>
          <w:sz w:val="24"/>
          <w:highlight w:val="none"/>
        </w:rPr>
      </w:pPr>
    </w:p>
    <w:tbl>
      <w:tblPr>
        <w:tblStyle w:val="2"/>
        <w:tblpPr w:leftFromText="180" w:rightFromText="180" w:vertAnchor="text" w:horzAnchor="page" w:tblpX="940" w:tblpY="802"/>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09"/>
        <w:gridCol w:w="698"/>
        <w:gridCol w:w="5968"/>
        <w:gridCol w:w="883"/>
      </w:tblGrid>
      <w:tr w14:paraId="47A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0" w:type="dxa"/>
            <w:noWrap w:val="0"/>
            <w:vAlign w:val="center"/>
          </w:tcPr>
          <w:p w14:paraId="6486D135">
            <w:pPr>
              <w:spacing w:line="500" w:lineRule="exact"/>
              <w:jc w:val="center"/>
              <w:rPr>
                <w:rFonts w:hint="eastAsia" w:ascii="宋体" w:hAnsi="宋体" w:eastAsia="宋体" w:cs="宋体"/>
                <w:b w:val="0"/>
                <w:bCs w:val="0"/>
                <w:color w:val="auto"/>
                <w:sz w:val="24"/>
                <w:highlight w:val="none"/>
              </w:rPr>
            </w:pPr>
            <w:bookmarkStart w:id="0" w:name="_Toc2493"/>
            <w:r>
              <w:rPr>
                <w:rFonts w:hint="eastAsia" w:ascii="宋体" w:hAnsi="宋体" w:eastAsia="宋体" w:cs="宋体"/>
                <w:b w:val="0"/>
                <w:bCs w:val="0"/>
                <w:color w:val="auto"/>
                <w:sz w:val="24"/>
                <w:highlight w:val="none"/>
              </w:rPr>
              <w:t>序号</w:t>
            </w:r>
          </w:p>
        </w:tc>
        <w:tc>
          <w:tcPr>
            <w:tcW w:w="1909" w:type="dxa"/>
            <w:noWrap w:val="0"/>
            <w:vAlign w:val="center"/>
          </w:tcPr>
          <w:p w14:paraId="78989663">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评分因素及权重</w:t>
            </w:r>
          </w:p>
        </w:tc>
        <w:tc>
          <w:tcPr>
            <w:tcW w:w="698" w:type="dxa"/>
            <w:noWrap w:val="0"/>
            <w:vAlign w:val="center"/>
          </w:tcPr>
          <w:p w14:paraId="3A440EB4">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分值</w:t>
            </w:r>
          </w:p>
        </w:tc>
        <w:tc>
          <w:tcPr>
            <w:tcW w:w="5968" w:type="dxa"/>
            <w:noWrap w:val="0"/>
            <w:vAlign w:val="center"/>
          </w:tcPr>
          <w:p w14:paraId="6E557519">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评分标准</w:t>
            </w:r>
          </w:p>
        </w:tc>
        <w:tc>
          <w:tcPr>
            <w:tcW w:w="883" w:type="dxa"/>
            <w:noWrap w:val="0"/>
            <w:vAlign w:val="center"/>
          </w:tcPr>
          <w:p w14:paraId="4568198D">
            <w:pPr>
              <w:spacing w:line="500" w:lineRule="exact"/>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得分</w:t>
            </w:r>
          </w:p>
        </w:tc>
      </w:tr>
      <w:tr w14:paraId="258F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780" w:type="dxa"/>
            <w:shd w:val="clear" w:color="auto" w:fill="auto"/>
            <w:noWrap w:val="0"/>
            <w:vAlign w:val="center"/>
          </w:tcPr>
          <w:p w14:paraId="147855DA">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1909" w:type="dxa"/>
            <w:shd w:val="clear" w:color="auto" w:fill="auto"/>
            <w:noWrap w:val="0"/>
            <w:vAlign w:val="center"/>
          </w:tcPr>
          <w:p w14:paraId="703D5F67">
            <w:pPr>
              <w:spacing w:line="500" w:lineRule="exact"/>
              <w:jc w:val="center"/>
              <w:rPr>
                <w:rFonts w:hint="eastAsia" w:ascii="宋体" w:hAnsi="宋体" w:eastAsia="宋体" w:cs="宋体"/>
                <w:b w:val="0"/>
                <w:bCs w:val="0"/>
                <w:color w:val="auto"/>
                <w:sz w:val="24"/>
                <w:highlight w:val="none"/>
                <w:lang w:eastAsia="zh-CN"/>
              </w:rPr>
            </w:pPr>
          </w:p>
          <w:p w14:paraId="5CFEF1DC">
            <w:pPr>
              <w:spacing w:line="500" w:lineRule="exact"/>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报价</w:t>
            </w: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w:t>
            </w:r>
          </w:p>
          <w:p w14:paraId="5E5E7985">
            <w:pPr>
              <w:spacing w:line="500" w:lineRule="exact"/>
              <w:jc w:val="center"/>
              <w:rPr>
                <w:rFonts w:hint="eastAsia" w:ascii="宋体" w:hAnsi="宋体" w:eastAsia="宋体" w:cs="宋体"/>
                <w:b w:val="0"/>
                <w:bCs w:val="0"/>
                <w:color w:val="auto"/>
                <w:sz w:val="24"/>
                <w:highlight w:val="none"/>
                <w:lang w:eastAsia="zh-CN"/>
              </w:rPr>
            </w:pPr>
          </w:p>
        </w:tc>
        <w:tc>
          <w:tcPr>
            <w:tcW w:w="698" w:type="dxa"/>
            <w:shd w:val="clear" w:color="auto" w:fill="FFFFFF"/>
            <w:noWrap w:val="0"/>
            <w:vAlign w:val="center"/>
          </w:tcPr>
          <w:p w14:paraId="0D103D9C">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分</w:t>
            </w:r>
          </w:p>
        </w:tc>
        <w:tc>
          <w:tcPr>
            <w:tcW w:w="5968" w:type="dxa"/>
            <w:shd w:val="clear" w:color="auto" w:fill="FFFFFF"/>
            <w:noWrap w:val="0"/>
            <w:vAlign w:val="top"/>
          </w:tcPr>
          <w:p w14:paraId="252A3387">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以有效投标人的评标价格最低者为评标标准值，得12分；投标价格从低到高排名，按排名先后依次递减1分计分，扣满12分为止。</w:t>
            </w:r>
          </w:p>
        </w:tc>
        <w:tc>
          <w:tcPr>
            <w:tcW w:w="883" w:type="dxa"/>
            <w:shd w:val="clear" w:color="auto" w:fill="FFFFFF"/>
            <w:noWrap w:val="0"/>
            <w:vAlign w:val="top"/>
          </w:tcPr>
          <w:p w14:paraId="76BADDD6">
            <w:pPr>
              <w:spacing w:line="500" w:lineRule="exact"/>
              <w:jc w:val="center"/>
              <w:rPr>
                <w:rFonts w:hint="eastAsia" w:ascii="宋体" w:hAnsi="宋体" w:eastAsia="宋体" w:cs="宋体"/>
                <w:b w:val="0"/>
                <w:bCs w:val="0"/>
                <w:color w:val="auto"/>
                <w:sz w:val="24"/>
                <w:highlight w:val="none"/>
                <w:lang w:eastAsia="zh-CN"/>
              </w:rPr>
            </w:pPr>
          </w:p>
          <w:p w14:paraId="4C2E3453">
            <w:pPr>
              <w:spacing w:line="500" w:lineRule="exact"/>
              <w:jc w:val="center"/>
              <w:rPr>
                <w:rFonts w:hint="eastAsia" w:ascii="宋体" w:hAnsi="宋体" w:eastAsia="宋体" w:cs="宋体"/>
                <w:b w:val="0"/>
                <w:bCs w:val="0"/>
                <w:color w:val="auto"/>
                <w:sz w:val="24"/>
                <w:highlight w:val="none"/>
                <w:lang w:eastAsia="zh-CN"/>
              </w:rPr>
            </w:pPr>
          </w:p>
        </w:tc>
      </w:tr>
      <w:tr w14:paraId="76B3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780" w:type="dxa"/>
            <w:noWrap w:val="0"/>
            <w:vAlign w:val="center"/>
          </w:tcPr>
          <w:p w14:paraId="0B77A55B">
            <w:pPr>
              <w:spacing w:line="500" w:lineRule="exact"/>
              <w:jc w:val="center"/>
              <w:rPr>
                <w:rFonts w:hint="eastAsia" w:ascii="宋体" w:hAnsi="宋体" w:eastAsia="宋体" w:cs="宋体"/>
                <w:b w:val="0"/>
                <w:bCs w:val="0"/>
                <w:color w:val="auto"/>
                <w:sz w:val="24"/>
                <w:highlight w:val="none"/>
              </w:rPr>
            </w:pPr>
          </w:p>
          <w:p w14:paraId="1CD93608">
            <w:pPr>
              <w:spacing w:line="500" w:lineRule="exact"/>
              <w:jc w:val="center"/>
              <w:rPr>
                <w:rFonts w:hint="eastAsia" w:ascii="宋体" w:hAnsi="宋体" w:eastAsia="宋体" w:cs="宋体"/>
                <w:b w:val="0"/>
                <w:bCs w:val="0"/>
                <w:color w:val="auto"/>
                <w:sz w:val="24"/>
                <w:highlight w:val="none"/>
              </w:rPr>
            </w:pPr>
          </w:p>
          <w:p w14:paraId="632EA906">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p w14:paraId="46227090">
            <w:pPr>
              <w:spacing w:line="500" w:lineRule="exact"/>
              <w:jc w:val="center"/>
              <w:rPr>
                <w:rFonts w:hint="eastAsia" w:ascii="宋体" w:hAnsi="宋体" w:eastAsia="宋体" w:cs="宋体"/>
                <w:b w:val="0"/>
                <w:bCs w:val="0"/>
                <w:color w:val="auto"/>
                <w:sz w:val="24"/>
                <w:highlight w:val="none"/>
              </w:rPr>
            </w:pPr>
          </w:p>
        </w:tc>
        <w:tc>
          <w:tcPr>
            <w:tcW w:w="1909" w:type="dxa"/>
            <w:noWrap w:val="0"/>
            <w:vAlign w:val="center"/>
          </w:tcPr>
          <w:p w14:paraId="5BE6BF15">
            <w:pPr>
              <w:spacing w:line="500" w:lineRule="exact"/>
              <w:jc w:val="both"/>
              <w:rPr>
                <w:rFonts w:hint="eastAsia" w:ascii="宋体" w:hAnsi="宋体" w:eastAsia="宋体" w:cs="宋体"/>
                <w:b w:val="0"/>
                <w:bCs w:val="0"/>
                <w:color w:val="auto"/>
                <w:sz w:val="24"/>
                <w:highlight w:val="none"/>
              </w:rPr>
            </w:pPr>
          </w:p>
          <w:p w14:paraId="2A711BA7">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服务方案</w:t>
            </w:r>
            <w:r>
              <w:rPr>
                <w:rFonts w:hint="eastAsia" w:ascii="宋体" w:hAnsi="宋体" w:eastAsia="宋体" w:cs="宋体"/>
                <w:b w:val="0"/>
                <w:bCs w:val="0"/>
                <w:color w:val="auto"/>
                <w:sz w:val="24"/>
                <w:highlight w:val="none"/>
                <w:lang w:val="en-US" w:eastAsia="zh-CN"/>
              </w:rPr>
              <w:t>60</w:t>
            </w:r>
            <w:r>
              <w:rPr>
                <w:rFonts w:hint="eastAsia" w:ascii="宋体" w:hAnsi="宋体" w:eastAsia="宋体" w:cs="宋体"/>
                <w:b w:val="0"/>
                <w:bCs w:val="0"/>
                <w:color w:val="auto"/>
                <w:sz w:val="24"/>
                <w:highlight w:val="none"/>
              </w:rPr>
              <w:t>%</w:t>
            </w:r>
          </w:p>
        </w:tc>
        <w:tc>
          <w:tcPr>
            <w:tcW w:w="698" w:type="dxa"/>
            <w:noWrap w:val="0"/>
            <w:vAlign w:val="center"/>
          </w:tcPr>
          <w:p w14:paraId="69D18CDE">
            <w:pPr>
              <w:spacing w:line="500" w:lineRule="exact"/>
              <w:jc w:val="both"/>
              <w:rPr>
                <w:rFonts w:hint="eastAsia" w:ascii="宋体" w:hAnsi="宋体" w:eastAsia="宋体" w:cs="宋体"/>
                <w:b w:val="0"/>
                <w:bCs w:val="0"/>
                <w:color w:val="auto"/>
                <w:sz w:val="24"/>
                <w:highlight w:val="none"/>
                <w:lang w:val="en-US" w:eastAsia="zh-CN"/>
              </w:rPr>
            </w:pPr>
          </w:p>
          <w:p w14:paraId="5C5A5C19">
            <w:pPr>
              <w:spacing w:line="500" w:lineRule="exact"/>
              <w:jc w:val="both"/>
              <w:rPr>
                <w:rFonts w:hint="eastAsia" w:ascii="宋体" w:hAnsi="宋体" w:eastAsia="宋体" w:cs="宋体"/>
                <w:b w:val="0"/>
                <w:bCs w:val="0"/>
                <w:color w:val="auto"/>
                <w:sz w:val="24"/>
                <w:highlight w:val="none"/>
                <w:lang w:val="en-US" w:eastAsia="zh-CN"/>
              </w:rPr>
            </w:pPr>
          </w:p>
          <w:p w14:paraId="3B17B0D7">
            <w:pPr>
              <w:spacing w:line="500" w:lineRule="exact"/>
              <w:jc w:val="both"/>
              <w:rPr>
                <w:rFonts w:hint="eastAsia" w:ascii="宋体" w:hAnsi="宋体" w:eastAsia="宋体" w:cs="宋体"/>
                <w:b w:val="0"/>
                <w:bCs w:val="0"/>
                <w:color w:val="auto"/>
                <w:sz w:val="24"/>
                <w:highlight w:val="none"/>
                <w:lang w:val="en-US" w:eastAsia="zh-CN"/>
              </w:rPr>
            </w:pPr>
          </w:p>
          <w:p w14:paraId="4104D4D7">
            <w:pPr>
              <w:spacing w:line="500" w:lineRule="exact"/>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60分</w:t>
            </w:r>
          </w:p>
          <w:p w14:paraId="6C3A209A">
            <w:pPr>
              <w:spacing w:line="500" w:lineRule="exact"/>
              <w:jc w:val="both"/>
              <w:rPr>
                <w:rFonts w:hint="eastAsia" w:ascii="宋体" w:hAnsi="宋体" w:eastAsia="宋体" w:cs="宋体"/>
                <w:b w:val="0"/>
                <w:bCs w:val="0"/>
                <w:color w:val="auto"/>
                <w:sz w:val="24"/>
                <w:highlight w:val="none"/>
              </w:rPr>
            </w:pPr>
          </w:p>
          <w:p w14:paraId="1E09D3B5">
            <w:pPr>
              <w:spacing w:line="500" w:lineRule="exact"/>
              <w:jc w:val="both"/>
              <w:rPr>
                <w:rFonts w:hint="eastAsia" w:ascii="宋体" w:hAnsi="宋体" w:eastAsia="宋体" w:cs="宋体"/>
                <w:b w:val="0"/>
                <w:bCs w:val="0"/>
                <w:color w:val="auto"/>
                <w:sz w:val="24"/>
                <w:highlight w:val="none"/>
              </w:rPr>
            </w:pPr>
          </w:p>
        </w:tc>
        <w:tc>
          <w:tcPr>
            <w:tcW w:w="5968" w:type="dxa"/>
            <w:noWrap w:val="0"/>
            <w:vAlign w:val="center"/>
          </w:tcPr>
          <w:p w14:paraId="03B5EFB1">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单位根据本项目特点，提供项目实施方案（包含但不限于以下几点：1.项目重难点分析；2.拍摄实施方案计划；3.进度控制；4.应急措施；5.本宣传片拍摄创意、设计、构思及框架构成；6.项目质量控制等），方案齐全且符合项目要求的每有一项得10分，本项最多得60分。以上方案每有一处存在缺陷（缺陷为方案内容存在逻辑问题或与项目实际需求不符或方案内容有缺失）的扣5分，扣完为止。</w:t>
            </w:r>
          </w:p>
        </w:tc>
        <w:tc>
          <w:tcPr>
            <w:tcW w:w="883" w:type="dxa"/>
            <w:noWrap w:val="0"/>
            <w:vAlign w:val="center"/>
          </w:tcPr>
          <w:p w14:paraId="3A80A3B9">
            <w:pPr>
              <w:spacing w:line="500" w:lineRule="exact"/>
              <w:jc w:val="both"/>
              <w:rPr>
                <w:rFonts w:hint="eastAsia" w:ascii="宋体" w:hAnsi="宋体" w:eastAsia="宋体" w:cs="宋体"/>
                <w:b w:val="0"/>
                <w:bCs w:val="0"/>
                <w:color w:val="auto"/>
                <w:sz w:val="24"/>
                <w:highlight w:val="none"/>
              </w:rPr>
            </w:pPr>
          </w:p>
        </w:tc>
      </w:tr>
      <w:tr w14:paraId="731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80" w:type="dxa"/>
            <w:noWrap w:val="0"/>
            <w:vAlign w:val="center"/>
          </w:tcPr>
          <w:p w14:paraId="41B01331">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1909" w:type="dxa"/>
            <w:noWrap w:val="0"/>
            <w:vAlign w:val="center"/>
          </w:tcPr>
          <w:p w14:paraId="31657447">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类似业绩</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w:t>
            </w:r>
          </w:p>
        </w:tc>
        <w:tc>
          <w:tcPr>
            <w:tcW w:w="698" w:type="dxa"/>
            <w:noWrap w:val="0"/>
            <w:vAlign w:val="center"/>
          </w:tcPr>
          <w:p w14:paraId="1650622E">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分</w:t>
            </w:r>
          </w:p>
        </w:tc>
        <w:tc>
          <w:tcPr>
            <w:tcW w:w="5968" w:type="dxa"/>
            <w:noWrap w:val="0"/>
            <w:vAlign w:val="center"/>
          </w:tcPr>
          <w:p w14:paraId="502CD598">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供应商承担过类似项目业绩的，每提供一个得</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分，最多得</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分。（类似业绩指：</w:t>
            </w:r>
            <w:r>
              <w:rPr>
                <w:rFonts w:hint="eastAsia" w:ascii="宋体" w:hAnsi="宋体" w:eastAsia="宋体" w:cs="宋体"/>
                <w:b w:val="0"/>
                <w:bCs w:val="0"/>
                <w:color w:val="auto"/>
                <w:sz w:val="24"/>
                <w:highlight w:val="none"/>
                <w:lang w:val="en-US" w:eastAsia="zh-CN"/>
              </w:rPr>
              <w:t>视频拍摄制作类</w:t>
            </w:r>
            <w:r>
              <w:rPr>
                <w:rFonts w:hint="eastAsia" w:ascii="宋体" w:hAnsi="宋体" w:eastAsia="宋体" w:cs="宋体"/>
                <w:b w:val="0"/>
                <w:bCs w:val="0"/>
                <w:color w:val="auto"/>
                <w:sz w:val="24"/>
                <w:highlight w:val="none"/>
              </w:rPr>
              <w:t>）</w:t>
            </w:r>
          </w:p>
          <w:p w14:paraId="646C6C15">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（供应商需提供相关证明材料并加盖供应商公章）</w:t>
            </w:r>
          </w:p>
        </w:tc>
        <w:tc>
          <w:tcPr>
            <w:tcW w:w="883" w:type="dxa"/>
            <w:noWrap w:val="0"/>
            <w:vAlign w:val="center"/>
          </w:tcPr>
          <w:p w14:paraId="3FEABF7F">
            <w:pPr>
              <w:spacing w:line="500" w:lineRule="exact"/>
              <w:jc w:val="both"/>
              <w:rPr>
                <w:rFonts w:hint="eastAsia" w:ascii="宋体" w:hAnsi="宋体" w:eastAsia="宋体" w:cs="宋体"/>
                <w:b w:val="0"/>
                <w:bCs w:val="0"/>
                <w:color w:val="auto"/>
                <w:sz w:val="24"/>
                <w:highlight w:val="none"/>
              </w:rPr>
            </w:pPr>
          </w:p>
        </w:tc>
      </w:tr>
      <w:tr w14:paraId="4704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80" w:type="dxa"/>
            <w:noWrap w:val="0"/>
            <w:vAlign w:val="center"/>
          </w:tcPr>
          <w:p w14:paraId="17F4A0C0">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1909" w:type="dxa"/>
            <w:noWrap w:val="0"/>
            <w:vAlign w:val="center"/>
          </w:tcPr>
          <w:p w14:paraId="35264517">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服务团队</w:t>
            </w:r>
            <w:r>
              <w:rPr>
                <w:rFonts w:hint="eastAsia" w:ascii="宋体" w:hAnsi="宋体" w:eastAsia="宋体" w:cs="宋体"/>
                <w:b w:val="0"/>
                <w:bCs w:val="0"/>
                <w:color w:val="auto"/>
                <w:sz w:val="24"/>
                <w:highlight w:val="none"/>
                <w:lang w:val="en-US" w:eastAsia="zh-CN"/>
              </w:rPr>
              <w:t>人员10</w:t>
            </w:r>
            <w:r>
              <w:rPr>
                <w:rFonts w:hint="eastAsia" w:ascii="宋体" w:hAnsi="宋体" w:eastAsia="宋体" w:cs="宋体"/>
                <w:b w:val="0"/>
                <w:bCs w:val="0"/>
                <w:color w:val="auto"/>
                <w:sz w:val="24"/>
                <w:highlight w:val="none"/>
              </w:rPr>
              <w:t>%</w:t>
            </w:r>
          </w:p>
        </w:tc>
        <w:tc>
          <w:tcPr>
            <w:tcW w:w="698" w:type="dxa"/>
            <w:noWrap w:val="0"/>
            <w:vAlign w:val="center"/>
          </w:tcPr>
          <w:p w14:paraId="41F93AC5">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tc>
        <w:tc>
          <w:tcPr>
            <w:tcW w:w="5968" w:type="dxa"/>
            <w:noWrap w:val="0"/>
            <w:vAlign w:val="center"/>
          </w:tcPr>
          <w:p w14:paraId="70BA2E5A">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供应商针对本项目拟投入的服务人员</w:t>
            </w:r>
            <w:r>
              <w:rPr>
                <w:rFonts w:hint="eastAsia" w:ascii="宋体" w:hAnsi="宋体" w:cs="宋体"/>
                <w:b w:val="0"/>
                <w:bCs w:val="0"/>
                <w:color w:val="auto"/>
                <w:sz w:val="24"/>
                <w:highlight w:val="none"/>
                <w:lang w:val="en-US" w:eastAsia="zh-CN"/>
              </w:rPr>
              <w:t>至少5人，</w:t>
            </w:r>
            <w:r>
              <w:rPr>
                <w:rFonts w:hint="eastAsia" w:ascii="宋体" w:hAnsi="宋体" w:eastAsia="宋体" w:cs="宋体"/>
                <w:b w:val="0"/>
                <w:bCs w:val="0"/>
                <w:color w:val="auto"/>
                <w:sz w:val="24"/>
                <w:highlight w:val="none"/>
              </w:rPr>
              <w:t>每增加一人加</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不足5人得0分。</w:t>
            </w:r>
            <w:r>
              <w:rPr>
                <w:rFonts w:hint="eastAsia" w:ascii="宋体" w:hAnsi="宋体" w:eastAsia="宋体" w:cs="宋体"/>
                <w:b w:val="0"/>
                <w:bCs w:val="0"/>
                <w:color w:val="auto"/>
                <w:sz w:val="24"/>
                <w:highlight w:val="none"/>
              </w:rPr>
              <w:t>本项最多得</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tc>
        <w:tc>
          <w:tcPr>
            <w:tcW w:w="883" w:type="dxa"/>
            <w:noWrap w:val="0"/>
            <w:vAlign w:val="center"/>
          </w:tcPr>
          <w:p w14:paraId="41F1F54F">
            <w:pPr>
              <w:spacing w:line="500" w:lineRule="exact"/>
              <w:jc w:val="both"/>
              <w:rPr>
                <w:rFonts w:hint="eastAsia" w:ascii="宋体" w:hAnsi="宋体" w:eastAsia="宋体" w:cs="宋体"/>
                <w:b w:val="0"/>
                <w:bCs w:val="0"/>
                <w:color w:val="auto"/>
                <w:sz w:val="24"/>
                <w:highlight w:val="none"/>
              </w:rPr>
            </w:pPr>
          </w:p>
        </w:tc>
      </w:tr>
      <w:tr w14:paraId="330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0" w:type="dxa"/>
            <w:noWrap w:val="0"/>
            <w:vAlign w:val="center"/>
          </w:tcPr>
          <w:p w14:paraId="4FAF14B5">
            <w:pPr>
              <w:spacing w:line="500" w:lineRule="exact"/>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p>
        </w:tc>
        <w:tc>
          <w:tcPr>
            <w:tcW w:w="1909" w:type="dxa"/>
            <w:noWrap w:val="0"/>
            <w:vAlign w:val="center"/>
          </w:tcPr>
          <w:p w14:paraId="1689833F">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企业</w:t>
            </w:r>
            <w:r>
              <w:rPr>
                <w:rFonts w:hint="eastAsia" w:ascii="宋体" w:hAnsi="宋体" w:eastAsia="宋体" w:cs="宋体"/>
                <w:b w:val="0"/>
                <w:bCs w:val="0"/>
                <w:color w:val="auto"/>
                <w:sz w:val="24"/>
                <w:highlight w:val="none"/>
                <w:lang w:val="en-US" w:eastAsia="zh-CN"/>
              </w:rPr>
              <w:t>资质3</w:t>
            </w:r>
            <w:r>
              <w:rPr>
                <w:rFonts w:hint="eastAsia" w:ascii="宋体" w:hAnsi="宋体" w:eastAsia="宋体" w:cs="宋体"/>
                <w:b w:val="0"/>
                <w:bCs w:val="0"/>
                <w:color w:val="auto"/>
                <w:sz w:val="24"/>
                <w:highlight w:val="none"/>
              </w:rPr>
              <w:t>%</w:t>
            </w:r>
          </w:p>
        </w:tc>
        <w:tc>
          <w:tcPr>
            <w:tcW w:w="698" w:type="dxa"/>
            <w:noWrap w:val="0"/>
            <w:vAlign w:val="center"/>
          </w:tcPr>
          <w:p w14:paraId="3CBB7C1C">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tc>
        <w:tc>
          <w:tcPr>
            <w:tcW w:w="5968" w:type="dxa"/>
            <w:noWrap w:val="0"/>
            <w:vAlign w:val="center"/>
          </w:tcPr>
          <w:p w14:paraId="40903D29">
            <w:pPr>
              <w:spacing w:line="500" w:lineRule="exact"/>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w:t>
            </w:r>
            <w:r>
              <w:rPr>
                <w:rFonts w:hint="eastAsia" w:ascii="宋体" w:hAnsi="宋体" w:eastAsia="宋体" w:cs="宋体"/>
                <w:b w:val="0"/>
                <w:bCs w:val="0"/>
                <w:color w:val="auto"/>
                <w:sz w:val="24"/>
                <w:highlight w:val="none"/>
                <w:lang w:val="en-US" w:eastAsia="zh-CN"/>
              </w:rPr>
              <w:t>取得国家广播电视总局监制相关证书，如《广播电视节目制作经营许可证》</w:t>
            </w:r>
            <w:r>
              <w:rPr>
                <w:rFonts w:hint="eastAsia" w:ascii="宋体" w:hAnsi="宋体" w:eastAsia="宋体" w:cs="宋体"/>
                <w:b w:val="0"/>
                <w:bCs w:val="0"/>
                <w:color w:val="auto"/>
                <w:sz w:val="24"/>
                <w:highlight w:val="none"/>
              </w:rPr>
              <w:t>，得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分；本项最多得</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tc>
        <w:tc>
          <w:tcPr>
            <w:tcW w:w="883" w:type="dxa"/>
            <w:noWrap w:val="0"/>
            <w:vAlign w:val="center"/>
          </w:tcPr>
          <w:p w14:paraId="604EA1EF">
            <w:pPr>
              <w:spacing w:line="500" w:lineRule="exact"/>
              <w:jc w:val="both"/>
              <w:rPr>
                <w:rFonts w:hint="eastAsia" w:ascii="宋体" w:hAnsi="宋体" w:eastAsia="宋体" w:cs="宋体"/>
                <w:b w:val="0"/>
                <w:bCs w:val="0"/>
                <w:color w:val="auto"/>
                <w:sz w:val="24"/>
                <w:highlight w:val="none"/>
              </w:rPr>
            </w:pPr>
          </w:p>
        </w:tc>
      </w:tr>
      <w:tr w14:paraId="435A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9355" w:type="dxa"/>
            <w:gridSpan w:val="4"/>
            <w:noWrap w:val="0"/>
            <w:vAlign w:val="center"/>
          </w:tcPr>
          <w:p w14:paraId="377B17DC">
            <w:pPr>
              <w:spacing w:line="500" w:lineRule="exact"/>
              <w:jc w:val="center"/>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合计</w:t>
            </w:r>
          </w:p>
        </w:tc>
        <w:tc>
          <w:tcPr>
            <w:tcW w:w="883" w:type="dxa"/>
            <w:noWrap w:val="0"/>
            <w:vAlign w:val="center"/>
          </w:tcPr>
          <w:p w14:paraId="2B5B4D8B">
            <w:pPr>
              <w:spacing w:line="500" w:lineRule="exact"/>
              <w:jc w:val="both"/>
              <w:rPr>
                <w:rFonts w:hint="eastAsia" w:ascii="宋体" w:hAnsi="宋体" w:eastAsia="宋体" w:cs="宋体"/>
                <w:b w:val="0"/>
                <w:bCs w:val="0"/>
                <w:color w:val="auto"/>
                <w:sz w:val="24"/>
                <w:highlight w:val="none"/>
              </w:rPr>
            </w:pPr>
          </w:p>
        </w:tc>
      </w:tr>
      <w:bookmarkEnd w:id="0"/>
    </w:tbl>
    <w:p w14:paraId="1D23FD97">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I3MmM3YTZiZmI5MTdjZjFhMjVhODYwYmI3Y2QifQ=="/>
  </w:docVars>
  <w:rsids>
    <w:rsidRoot w:val="1A5820E6"/>
    <w:rsid w:val="1A5820E6"/>
    <w:rsid w:val="39ED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643</Characters>
  <Lines>0</Lines>
  <Paragraphs>0</Paragraphs>
  <TotalTime>0</TotalTime>
  <ScaleCrop>false</ScaleCrop>
  <LinksUpToDate>false</LinksUpToDate>
  <CharactersWithSpaces>643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2024-07-18T06:28:00Z</dcterms:created>
  <dc:creator>钟小哇。</dc:creator>
  <cp:lastModifiedBy>钟小哇。</cp:lastModifiedBy>
  <dcterms:modified xsi:type="dcterms:W3CDTF">2024-08-07T08:52:58Z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1F445C05E5334A9EB38B623E50EA869A_11</vt:lpwstr>
  </property>
</Properties>
</file>